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9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>Акт</w:t>
      </w:r>
      <w:r w:rsidR="003E3ACA">
        <w:rPr>
          <w:rFonts w:ascii="Times New Roman" w:hAnsi="Times New Roman" w:cs="Times New Roman"/>
          <w:b/>
          <w:sz w:val="26"/>
          <w:szCs w:val="26"/>
        </w:rPr>
        <w:t xml:space="preserve"> №3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51714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концессионного соглашения от 25.10.2016</w:t>
      </w:r>
      <w:r w:rsidR="00DE337B">
        <w:rPr>
          <w:rFonts w:ascii="Times New Roman" w:hAnsi="Times New Roman" w:cs="Times New Roman"/>
          <w:b/>
          <w:sz w:val="26"/>
          <w:szCs w:val="26"/>
        </w:rPr>
        <w:t>г. №1,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517142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34FB" w:rsidRPr="00517142" w:rsidRDefault="0021390D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="00B92C29">
        <w:rPr>
          <w:rFonts w:ascii="Times New Roman" w:hAnsi="Times New Roman" w:cs="Times New Roman"/>
          <w:sz w:val="24"/>
          <w:szCs w:val="24"/>
        </w:rPr>
        <w:t xml:space="preserve">      </w:t>
      </w:r>
      <w:r w:rsidR="003E3ACA">
        <w:rPr>
          <w:rFonts w:ascii="Times New Roman" w:hAnsi="Times New Roman" w:cs="Times New Roman"/>
          <w:sz w:val="24"/>
          <w:szCs w:val="24"/>
        </w:rPr>
        <w:t>02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="007F18E5" w:rsidRPr="00517142">
        <w:rPr>
          <w:rFonts w:ascii="Times New Roman" w:hAnsi="Times New Roman" w:cs="Times New Roman"/>
          <w:sz w:val="24"/>
          <w:szCs w:val="24"/>
        </w:rPr>
        <w:t>0</w:t>
      </w:r>
      <w:r w:rsidR="003E3ACA">
        <w:rPr>
          <w:rFonts w:ascii="Times New Roman" w:hAnsi="Times New Roman" w:cs="Times New Roman"/>
          <w:sz w:val="24"/>
          <w:szCs w:val="24"/>
        </w:rPr>
        <w:t>6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</w:p>
    <w:p w:rsidR="005D34FB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CA" w:rsidRDefault="003E3ACA" w:rsidP="003E3A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администрации района от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поступила информация о выполнении мероприятий за 2024г. и о показателях надежности и</w:t>
      </w:r>
      <w:r w:rsidRPr="00302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энергетической эффективности (письмо №02-03/6060 от 30.05.2025).</w:t>
      </w:r>
    </w:p>
    <w:p w:rsidR="003E3ACA" w:rsidRPr="00517142" w:rsidRDefault="003E3ACA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4FB" w:rsidRPr="00517142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517142" w:rsidRPr="00517142">
        <w:rPr>
          <w:rFonts w:ascii="Times New Roman" w:hAnsi="Times New Roman" w:cs="Times New Roman"/>
          <w:sz w:val="24"/>
          <w:szCs w:val="24"/>
        </w:rPr>
        <w:t>.</w:t>
      </w:r>
      <w:r w:rsidR="00C9630E">
        <w:rPr>
          <w:rFonts w:ascii="Times New Roman" w:hAnsi="Times New Roman" w:cs="Times New Roman"/>
          <w:sz w:val="24"/>
          <w:szCs w:val="24"/>
        </w:rPr>
        <w:t>0</w:t>
      </w:r>
      <w:r w:rsidR="00625F5F">
        <w:rPr>
          <w:rFonts w:ascii="Times New Roman" w:hAnsi="Times New Roman" w:cs="Times New Roman"/>
          <w:sz w:val="24"/>
          <w:szCs w:val="24"/>
        </w:rPr>
        <w:t>3</w:t>
      </w:r>
      <w:r w:rsidR="00517142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517142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625F5F">
        <w:rPr>
          <w:rFonts w:ascii="Times New Roman" w:hAnsi="Times New Roman" w:cs="Times New Roman"/>
          <w:sz w:val="24"/>
          <w:szCs w:val="24"/>
        </w:rPr>
        <w:t>60</w:t>
      </w:r>
      <w:r w:rsidR="00517142" w:rsidRPr="00517142">
        <w:rPr>
          <w:rFonts w:ascii="Times New Roman" w:hAnsi="Times New Roman" w:cs="Times New Roman"/>
          <w:sz w:val="24"/>
          <w:szCs w:val="24"/>
        </w:rPr>
        <w:t>-р</w:t>
      </w:r>
      <w:r w:rsidR="0004353E" w:rsidRPr="00517142">
        <w:rPr>
          <w:rFonts w:ascii="Times New Roman" w:hAnsi="Times New Roman" w:cs="Times New Roman"/>
          <w:sz w:val="24"/>
          <w:szCs w:val="24"/>
        </w:rPr>
        <w:t xml:space="preserve">, </w:t>
      </w:r>
      <w:r w:rsidRPr="00517142">
        <w:rPr>
          <w:rFonts w:ascii="Times New Roman" w:hAnsi="Times New Roman" w:cs="Times New Roman"/>
          <w:sz w:val="24"/>
          <w:szCs w:val="24"/>
        </w:rPr>
        <w:t>руководствуясь ст. 9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Федерального закона от 21.07.2005 №115-ФЗ «О концессионных соглашениях», комиссией проведена работа по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DD79ED" w:rsidRPr="00517142">
        <w:rPr>
          <w:rFonts w:ascii="Times New Roman" w:hAnsi="Times New Roman" w:cs="Times New Roman"/>
          <w:sz w:val="24"/>
          <w:szCs w:val="24"/>
        </w:rPr>
        <w:t>исполнени</w:t>
      </w:r>
      <w:r w:rsidR="00B35276" w:rsidRPr="00517142">
        <w:rPr>
          <w:rFonts w:ascii="Times New Roman" w:hAnsi="Times New Roman" w:cs="Times New Roman"/>
          <w:sz w:val="24"/>
          <w:szCs w:val="24"/>
        </w:rPr>
        <w:t>я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DD79ED"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="00DD79ED"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№1.</w:t>
      </w:r>
    </w:p>
    <w:p w:rsidR="00C46619" w:rsidRPr="00517142" w:rsidRDefault="00C46619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ED" w:rsidRPr="00517142" w:rsidRDefault="00B92C2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="00DD79ED"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и: с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E30734">
        <w:rPr>
          <w:rFonts w:ascii="Times New Roman" w:hAnsi="Times New Roman" w:cs="Times New Roman"/>
          <w:sz w:val="24"/>
          <w:szCs w:val="24"/>
        </w:rPr>
        <w:t>12</w:t>
      </w:r>
      <w:r w:rsidR="006371AE" w:rsidRPr="00517142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9B5C1C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F">
        <w:rPr>
          <w:rFonts w:ascii="Times New Roman" w:hAnsi="Times New Roman" w:cs="Times New Roman"/>
          <w:sz w:val="24"/>
          <w:szCs w:val="24"/>
        </w:rPr>
        <w:t>22</w:t>
      </w:r>
      <w:r w:rsidR="00CC20E9" w:rsidRPr="00517142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</w:t>
      </w:r>
      <w:r w:rsidR="00B660E3"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B660E3" w:rsidRPr="00517142">
        <w:rPr>
          <w:rFonts w:ascii="Times New Roman" w:hAnsi="Times New Roman" w:cs="Times New Roman"/>
          <w:sz w:val="24"/>
          <w:szCs w:val="24"/>
        </w:rPr>
        <w:t>гг.</w:t>
      </w:r>
    </w:p>
    <w:p w:rsidR="00DD79ED" w:rsidRPr="00517142" w:rsidRDefault="00CC20E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625F5F">
        <w:rPr>
          <w:rFonts w:ascii="Times New Roman" w:hAnsi="Times New Roman" w:cs="Times New Roman"/>
          <w:sz w:val="24"/>
          <w:szCs w:val="24"/>
        </w:rPr>
        <w:t>4</w:t>
      </w:r>
      <w:r w:rsidR="00DD79ED"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DD79ED" w:rsidRPr="00517142" w:rsidRDefault="00DD79ED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 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сх</w:t>
      </w:r>
      <w:r w:rsidR="002D1A5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 xml:space="preserve"> № </w:t>
      </w:r>
      <w:r w:rsidR="00625F5F">
        <w:rPr>
          <w:rFonts w:ascii="Times New Roman" w:hAnsi="Times New Roman" w:cs="Times New Roman"/>
          <w:sz w:val="24"/>
          <w:szCs w:val="24"/>
        </w:rPr>
        <w:t>ИК-1453</w:t>
      </w:r>
      <w:r w:rsidR="00C9630E">
        <w:rPr>
          <w:rFonts w:ascii="Times New Roman" w:hAnsi="Times New Roman" w:cs="Times New Roman"/>
          <w:sz w:val="24"/>
          <w:szCs w:val="24"/>
        </w:rPr>
        <w:t xml:space="preserve">-17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C9630E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3</w:t>
      </w:r>
      <w:r w:rsidR="00C9630E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664464" w:rsidRPr="00517142" w:rsidRDefault="00664464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C7367B" w:rsidRPr="00517142" w:rsidRDefault="00C7367B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 w:rsidR="009B5C1C">
        <w:rPr>
          <w:rFonts w:ascii="Times New Roman" w:hAnsi="Times New Roman" w:cs="Times New Roman"/>
          <w:sz w:val="24"/>
          <w:szCs w:val="24"/>
        </w:rPr>
        <w:t>, состав которой утвержден распоря</w:t>
      </w:r>
      <w:r w:rsidR="00C9630E">
        <w:rPr>
          <w:rFonts w:ascii="Times New Roman" w:hAnsi="Times New Roman" w:cs="Times New Roman"/>
          <w:sz w:val="24"/>
          <w:szCs w:val="24"/>
        </w:rPr>
        <w:t>ж</w:t>
      </w:r>
      <w:r w:rsidR="00E30734">
        <w:rPr>
          <w:rFonts w:ascii="Times New Roman" w:hAnsi="Times New Roman" w:cs="Times New Roman"/>
          <w:sz w:val="24"/>
          <w:szCs w:val="24"/>
        </w:rPr>
        <w:t xml:space="preserve">ением администрации района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625F5F" w:rsidRPr="00517142">
        <w:rPr>
          <w:rFonts w:ascii="Times New Roman" w:hAnsi="Times New Roman" w:cs="Times New Roman"/>
          <w:sz w:val="24"/>
          <w:szCs w:val="24"/>
        </w:rPr>
        <w:t>.</w:t>
      </w:r>
      <w:r w:rsidR="00625F5F">
        <w:rPr>
          <w:rFonts w:ascii="Times New Roman" w:hAnsi="Times New Roman" w:cs="Times New Roman"/>
          <w:sz w:val="24"/>
          <w:szCs w:val="24"/>
        </w:rPr>
        <w:t>03</w:t>
      </w:r>
      <w:r w:rsidR="00625F5F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25F5F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625F5F">
        <w:rPr>
          <w:rFonts w:ascii="Times New Roman" w:hAnsi="Times New Roman" w:cs="Times New Roman"/>
          <w:sz w:val="24"/>
          <w:szCs w:val="24"/>
        </w:rPr>
        <w:t>60</w:t>
      </w:r>
      <w:r w:rsidR="00625F5F" w:rsidRPr="00517142">
        <w:rPr>
          <w:rFonts w:ascii="Times New Roman" w:hAnsi="Times New Roman" w:cs="Times New Roman"/>
          <w:sz w:val="24"/>
          <w:szCs w:val="24"/>
        </w:rPr>
        <w:t>-р</w:t>
      </w:r>
      <w:r w:rsidR="009B5C1C">
        <w:rPr>
          <w:rFonts w:ascii="Times New Roman" w:hAnsi="Times New Roman" w:cs="Times New Roman"/>
          <w:sz w:val="24"/>
          <w:szCs w:val="24"/>
        </w:rPr>
        <w:t>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F07540" w:rsidRDefault="0021390D" w:rsidP="00D71B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E30734">
        <w:rPr>
          <w:rFonts w:ascii="Times New Roman" w:hAnsi="Times New Roman" w:cs="Times New Roman"/>
          <w:sz w:val="24"/>
          <w:szCs w:val="24"/>
        </w:rPr>
        <w:t>1</w:t>
      </w:r>
      <w:r w:rsidR="00625F5F">
        <w:rPr>
          <w:rFonts w:ascii="Times New Roman" w:hAnsi="Times New Roman" w:cs="Times New Roman"/>
          <w:sz w:val="24"/>
          <w:szCs w:val="24"/>
        </w:rPr>
        <w:t>6</w:t>
      </w:r>
      <w:r w:rsidR="00C7367B" w:rsidRPr="00517142">
        <w:rPr>
          <w:rFonts w:ascii="Times New Roman" w:hAnsi="Times New Roman" w:cs="Times New Roman"/>
          <w:sz w:val="24"/>
          <w:szCs w:val="24"/>
        </w:rPr>
        <w:t>.</w:t>
      </w:r>
      <w:r w:rsidR="00E30734">
        <w:rPr>
          <w:rFonts w:ascii="Times New Roman" w:hAnsi="Times New Roman" w:cs="Times New Roman"/>
          <w:sz w:val="24"/>
          <w:szCs w:val="24"/>
        </w:rPr>
        <w:t>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B5C1C">
        <w:rPr>
          <w:rFonts w:ascii="Times New Roman" w:hAnsi="Times New Roman" w:cs="Times New Roman"/>
          <w:sz w:val="24"/>
          <w:szCs w:val="24"/>
        </w:rPr>
        <w:t xml:space="preserve">в </w:t>
      </w:r>
      <w:r w:rsidR="00625F5F">
        <w:rPr>
          <w:rFonts w:ascii="Times New Roman" w:hAnsi="Times New Roman" w:cs="Times New Roman"/>
          <w:sz w:val="24"/>
          <w:szCs w:val="24"/>
        </w:rPr>
        <w:t>09</w:t>
      </w:r>
      <w:r w:rsidR="009B5C1C">
        <w:rPr>
          <w:rFonts w:ascii="Times New Roman" w:hAnsi="Times New Roman" w:cs="Times New Roman"/>
          <w:sz w:val="24"/>
          <w:szCs w:val="24"/>
        </w:rPr>
        <w:t>-</w:t>
      </w:r>
      <w:r w:rsidR="00E30734">
        <w:rPr>
          <w:rFonts w:ascii="Times New Roman" w:hAnsi="Times New Roman" w:cs="Times New Roman"/>
          <w:sz w:val="24"/>
          <w:szCs w:val="24"/>
        </w:rPr>
        <w:t>0</w:t>
      </w:r>
      <w:r w:rsidR="009B5C1C">
        <w:rPr>
          <w:rFonts w:ascii="Times New Roman" w:hAnsi="Times New Roman" w:cs="Times New Roman"/>
          <w:sz w:val="24"/>
          <w:szCs w:val="24"/>
        </w:rPr>
        <w:t xml:space="preserve">0 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комиссионный </w:t>
      </w:r>
      <w:r w:rsidR="00C7367B" w:rsidRPr="00517142">
        <w:rPr>
          <w:rFonts w:ascii="Times New Roman" w:hAnsi="Times New Roman" w:cs="Times New Roman"/>
          <w:sz w:val="24"/>
          <w:szCs w:val="24"/>
        </w:rPr>
        <w:t>визуальный осмотр объекта концессионного соглашения и соответствующего земельного участка</w:t>
      </w:r>
      <w:r w:rsidR="006371AE" w:rsidRPr="00517142">
        <w:rPr>
          <w:rFonts w:ascii="Times New Roman" w:hAnsi="Times New Roman" w:cs="Times New Roman"/>
          <w:sz w:val="24"/>
          <w:szCs w:val="24"/>
        </w:rPr>
        <w:t>,</w:t>
      </w:r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619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19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C46619" w:rsidRPr="00517142">
        <w:rPr>
          <w:rFonts w:ascii="Times New Roman" w:hAnsi="Times New Roman" w:cs="Times New Roman"/>
          <w:sz w:val="24"/>
          <w:szCs w:val="24"/>
        </w:rPr>
        <w:t>.</w:t>
      </w:r>
    </w:p>
    <w:p w:rsidR="00664464" w:rsidRPr="00517142" w:rsidRDefault="00D71BCF" w:rsidP="00D71B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6. </w:t>
      </w:r>
      <w:r w:rsidR="008A492F" w:rsidRPr="00517142">
        <w:rPr>
          <w:rFonts w:ascii="Times New Roman" w:hAnsi="Times New Roman" w:cs="Times New Roman"/>
          <w:sz w:val="24"/>
          <w:szCs w:val="24"/>
        </w:rPr>
        <w:t>По итогам контрольных мероприятий установлено:</w:t>
      </w:r>
    </w:p>
    <w:p w:rsidR="008A492F" w:rsidRPr="00517142" w:rsidRDefault="008A492F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муниципальное имущество – модульная котельная, расположенная по адресу: Красноярский край,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, 21Б, с оборудованием согласно Приложения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1461CC" w:rsidRPr="003E3ACA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CA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3E3AC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E3ACA">
        <w:rPr>
          <w:rFonts w:ascii="Times New Roman" w:hAnsi="Times New Roman" w:cs="Times New Roman"/>
          <w:sz w:val="24"/>
          <w:szCs w:val="24"/>
        </w:rPr>
        <w:t>орон по концессионному соглашению на 202</w:t>
      </w:r>
      <w:r w:rsidR="003E3ACA" w:rsidRPr="003E3ACA">
        <w:rPr>
          <w:rFonts w:ascii="Times New Roman" w:hAnsi="Times New Roman" w:cs="Times New Roman"/>
          <w:sz w:val="24"/>
          <w:szCs w:val="24"/>
        </w:rPr>
        <w:t>4</w:t>
      </w:r>
      <w:r w:rsidRPr="003E3ACA">
        <w:rPr>
          <w:rFonts w:ascii="Times New Roman" w:hAnsi="Times New Roman" w:cs="Times New Roman"/>
          <w:sz w:val="24"/>
          <w:szCs w:val="24"/>
        </w:rPr>
        <w:t>г. мероприятий не запланировано.</w:t>
      </w:r>
    </w:p>
    <w:p w:rsidR="008A492F" w:rsidRPr="003E3ACA" w:rsidRDefault="008A492F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CA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3E3AC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E3ACA">
        <w:rPr>
          <w:rFonts w:ascii="Times New Roman" w:hAnsi="Times New Roman" w:cs="Times New Roman"/>
          <w:sz w:val="24"/>
          <w:szCs w:val="24"/>
        </w:rPr>
        <w:t xml:space="preserve">орон по </w:t>
      </w:r>
      <w:r w:rsidR="00CC20E9" w:rsidRPr="003E3ACA">
        <w:rPr>
          <w:rFonts w:ascii="Times New Roman" w:hAnsi="Times New Roman" w:cs="Times New Roman"/>
          <w:sz w:val="24"/>
          <w:szCs w:val="24"/>
        </w:rPr>
        <w:t>концессионному соглашению за 202</w:t>
      </w:r>
      <w:r w:rsidR="003E3ACA" w:rsidRPr="003E3ACA">
        <w:rPr>
          <w:rFonts w:ascii="Times New Roman" w:hAnsi="Times New Roman" w:cs="Times New Roman"/>
          <w:sz w:val="24"/>
          <w:szCs w:val="24"/>
        </w:rPr>
        <w:t>4</w:t>
      </w:r>
      <w:r w:rsidRPr="003E3ACA">
        <w:rPr>
          <w:rFonts w:ascii="Times New Roman" w:hAnsi="Times New Roman" w:cs="Times New Roman"/>
          <w:sz w:val="24"/>
          <w:szCs w:val="24"/>
        </w:rPr>
        <w:t>г. ос</w:t>
      </w:r>
      <w:r w:rsidR="00C46619" w:rsidRPr="003E3ACA">
        <w:rPr>
          <w:rFonts w:ascii="Times New Roman" w:hAnsi="Times New Roman" w:cs="Times New Roman"/>
          <w:sz w:val="24"/>
          <w:szCs w:val="24"/>
        </w:rPr>
        <w:t xml:space="preserve">уществлены инвестиции в размере </w:t>
      </w:r>
      <w:r w:rsidR="006371AE" w:rsidRPr="003E3ACA">
        <w:rPr>
          <w:rFonts w:ascii="Times New Roman" w:hAnsi="Times New Roman" w:cs="Times New Roman"/>
          <w:sz w:val="24"/>
          <w:szCs w:val="24"/>
        </w:rPr>
        <w:t xml:space="preserve"> </w:t>
      </w:r>
      <w:r w:rsidR="006371AE" w:rsidRPr="003E3ACA">
        <w:rPr>
          <w:rFonts w:ascii="Times New Roman" w:hAnsi="Times New Roman" w:cs="Times New Roman"/>
          <w:b/>
          <w:sz w:val="24"/>
          <w:szCs w:val="24"/>
        </w:rPr>
        <w:t>0,00</w:t>
      </w:r>
      <w:r w:rsidRPr="003E3ACA">
        <w:rPr>
          <w:rFonts w:ascii="Times New Roman" w:hAnsi="Times New Roman" w:cs="Times New Roman"/>
          <w:b/>
          <w:sz w:val="24"/>
          <w:szCs w:val="24"/>
        </w:rPr>
        <w:t xml:space="preserve">  руб.</w:t>
      </w:r>
    </w:p>
    <w:p w:rsidR="00B43B0F" w:rsidRPr="00517142" w:rsidRDefault="008A492F" w:rsidP="0066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CA">
        <w:rPr>
          <w:rFonts w:ascii="Times New Roman" w:hAnsi="Times New Roman" w:cs="Times New Roman"/>
          <w:sz w:val="24"/>
          <w:szCs w:val="24"/>
        </w:rPr>
        <w:t xml:space="preserve">- </w:t>
      </w:r>
      <w:r w:rsidR="00C7367B" w:rsidRPr="003E3AC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C7367B" w:rsidRPr="003E3ACA">
        <w:rPr>
          <w:rFonts w:ascii="Times New Roman" w:hAnsi="Times New Roman" w:cs="Times New Roman"/>
          <w:sz w:val="24"/>
          <w:szCs w:val="24"/>
        </w:rPr>
        <w:t>исполнения плановых значений показателей деятельности Концессионера</w:t>
      </w:r>
      <w:proofErr w:type="gramEnd"/>
      <w:r w:rsidR="00C7367B" w:rsidRPr="003E3ACA">
        <w:rPr>
          <w:rFonts w:ascii="Times New Roman" w:hAnsi="Times New Roman" w:cs="Times New Roman"/>
          <w:sz w:val="24"/>
          <w:szCs w:val="24"/>
        </w:rPr>
        <w:t xml:space="preserve"> за </w:t>
      </w:r>
      <w:r w:rsidR="007F18E5" w:rsidRPr="003E3ACA">
        <w:rPr>
          <w:rFonts w:ascii="Times New Roman" w:hAnsi="Times New Roman" w:cs="Times New Roman"/>
          <w:sz w:val="24"/>
          <w:szCs w:val="24"/>
        </w:rPr>
        <w:t>202</w:t>
      </w:r>
      <w:r w:rsidR="003E3ACA" w:rsidRPr="003E3ACA">
        <w:rPr>
          <w:rFonts w:ascii="Times New Roman" w:hAnsi="Times New Roman" w:cs="Times New Roman"/>
          <w:sz w:val="24"/>
          <w:szCs w:val="24"/>
        </w:rPr>
        <w:t>4</w:t>
      </w:r>
      <w:r w:rsidR="006371AE" w:rsidRPr="003E3ACA">
        <w:rPr>
          <w:rFonts w:ascii="Times New Roman" w:hAnsi="Times New Roman" w:cs="Times New Roman"/>
          <w:sz w:val="24"/>
          <w:szCs w:val="24"/>
        </w:rPr>
        <w:t>.</w:t>
      </w:r>
      <w:r w:rsidR="00B43B0F" w:rsidRPr="003E3A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232"/>
        <w:gridCol w:w="1294"/>
        <w:gridCol w:w="1331"/>
        <w:gridCol w:w="1238"/>
      </w:tblGrid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7142">
              <w:rPr>
                <w:rFonts w:ascii="Times New Roman" w:hAnsi="Times New Roman" w:cs="Times New Roman"/>
              </w:rPr>
              <w:t>п</w:t>
            </w:r>
            <w:proofErr w:type="gramStart"/>
            <w:r w:rsidRPr="00517142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Начальное значение показателя</w:t>
            </w:r>
          </w:p>
        </w:tc>
        <w:tc>
          <w:tcPr>
            <w:tcW w:w="1331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Конечное значение показателя</w:t>
            </w:r>
          </w:p>
        </w:tc>
        <w:tc>
          <w:tcPr>
            <w:tcW w:w="1238" w:type="dxa"/>
            <w:shd w:val="clear" w:color="auto" w:fill="auto"/>
          </w:tcPr>
          <w:p w:rsidR="007F18E5" w:rsidRPr="00517142" w:rsidRDefault="007F18E5" w:rsidP="00517142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Значение показателя за 202</w:t>
            </w:r>
            <w:r w:rsidR="00625F5F">
              <w:rPr>
                <w:rFonts w:ascii="Times New Roman" w:hAnsi="Times New Roman" w:cs="Times New Roman"/>
              </w:rPr>
              <w:t>4</w:t>
            </w:r>
            <w:r w:rsidRPr="00517142">
              <w:rPr>
                <w:rFonts w:ascii="Times New Roman" w:hAnsi="Times New Roman" w:cs="Times New Roman"/>
              </w:rPr>
              <w:t>г.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331" w:type="dxa"/>
            <w:shd w:val="clear" w:color="auto" w:fill="auto"/>
          </w:tcPr>
          <w:p w:rsidR="007F18E5" w:rsidRPr="003E3ACA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3E3ACA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238" w:type="dxa"/>
            <w:shd w:val="clear" w:color="auto" w:fill="auto"/>
          </w:tcPr>
          <w:p w:rsidR="007F18E5" w:rsidRPr="003E3ACA" w:rsidRDefault="00C9630E" w:rsidP="007F18E5">
            <w:pPr>
              <w:jc w:val="both"/>
              <w:rPr>
                <w:rFonts w:ascii="Times New Roman" w:hAnsi="Times New Roman" w:cs="Times New Roman"/>
              </w:rPr>
            </w:pPr>
            <w:r w:rsidRPr="003E3ACA">
              <w:rPr>
                <w:rFonts w:ascii="Times New Roman" w:hAnsi="Times New Roman" w:cs="Times New Roman"/>
              </w:rPr>
              <w:t>0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 xml:space="preserve">Удельный расход топлива на производство единицы </w:t>
            </w:r>
            <w:r w:rsidRPr="00517142">
              <w:rPr>
                <w:rFonts w:ascii="Times New Roman" w:hAnsi="Times New Roman" w:cs="Times New Roman"/>
              </w:rPr>
              <w:lastRenderedPageBreak/>
              <w:t>тепловой энергии, отпускаемой с коллекторов источников тепловой энергии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lastRenderedPageBreak/>
              <w:t>299</w:t>
            </w:r>
          </w:p>
        </w:tc>
        <w:tc>
          <w:tcPr>
            <w:tcW w:w="1331" w:type="dxa"/>
            <w:shd w:val="clear" w:color="auto" w:fill="auto"/>
          </w:tcPr>
          <w:p w:rsidR="007F18E5" w:rsidRPr="003E3ACA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3E3A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38" w:type="dxa"/>
            <w:shd w:val="clear" w:color="auto" w:fill="auto"/>
          </w:tcPr>
          <w:p w:rsidR="007F18E5" w:rsidRPr="003E3ACA" w:rsidRDefault="003E3ACA" w:rsidP="007F18E5">
            <w:pPr>
              <w:jc w:val="both"/>
              <w:rPr>
                <w:rFonts w:ascii="Times New Roman" w:hAnsi="Times New Roman" w:cs="Times New Roman"/>
              </w:rPr>
            </w:pPr>
            <w:r w:rsidRPr="003E3ACA">
              <w:rPr>
                <w:rFonts w:ascii="Times New Roman" w:hAnsi="Times New Roman" w:cs="Times New Roman"/>
              </w:rPr>
              <w:t>285,08</w:t>
            </w:r>
          </w:p>
        </w:tc>
      </w:tr>
    </w:tbl>
    <w:p w:rsidR="007F18E5" w:rsidRPr="00B61C11" w:rsidRDefault="003E3ACA" w:rsidP="0066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1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B61C11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Pr="00B61C11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B61C11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B61C11">
        <w:rPr>
          <w:rFonts w:ascii="Times New Roman" w:hAnsi="Times New Roman" w:cs="Times New Roman"/>
          <w:sz w:val="24"/>
          <w:szCs w:val="24"/>
        </w:rPr>
        <w:t>» в 2024г. выполнено мероприятие по установке модульного сооружения для размещения электро</w:t>
      </w:r>
      <w:r w:rsidR="00B61C11" w:rsidRPr="00B61C11">
        <w:rPr>
          <w:rFonts w:ascii="Times New Roman" w:hAnsi="Times New Roman" w:cs="Times New Roman"/>
          <w:sz w:val="24"/>
          <w:szCs w:val="24"/>
        </w:rPr>
        <w:t xml:space="preserve"> </w:t>
      </w:r>
      <w:r w:rsidRPr="00B61C11">
        <w:rPr>
          <w:rFonts w:ascii="Times New Roman" w:hAnsi="Times New Roman" w:cs="Times New Roman"/>
          <w:sz w:val="24"/>
          <w:szCs w:val="24"/>
        </w:rPr>
        <w:t>персонала котельно, однако расходы на данн</w:t>
      </w:r>
      <w:r w:rsidR="00B61C11">
        <w:rPr>
          <w:rFonts w:ascii="Times New Roman" w:hAnsi="Times New Roman" w:cs="Times New Roman"/>
          <w:sz w:val="24"/>
          <w:szCs w:val="24"/>
        </w:rPr>
        <w:t>ое мероприятие не подтверждены, указано</w:t>
      </w:r>
      <w:r w:rsidR="007873E0">
        <w:rPr>
          <w:rFonts w:ascii="Times New Roman" w:hAnsi="Times New Roman" w:cs="Times New Roman"/>
          <w:sz w:val="24"/>
          <w:szCs w:val="24"/>
        </w:rPr>
        <w:t>,</w:t>
      </w:r>
      <w:r w:rsidR="00B61C11">
        <w:rPr>
          <w:rFonts w:ascii="Times New Roman" w:hAnsi="Times New Roman" w:cs="Times New Roman"/>
          <w:sz w:val="24"/>
          <w:szCs w:val="24"/>
        </w:rPr>
        <w:t xml:space="preserve"> что документы будут направлены после 15.06.2025г. </w:t>
      </w:r>
      <w:r w:rsidR="00B61C11" w:rsidRPr="00B61C11">
        <w:rPr>
          <w:rFonts w:ascii="Times New Roman" w:hAnsi="Times New Roman" w:cs="Times New Roman"/>
          <w:sz w:val="24"/>
          <w:szCs w:val="24"/>
        </w:rPr>
        <w:t>Модульные сооружения для электро персонала были установлены первоначально. В акте проверки за 2019г. имеется фото данного сооружения.</w:t>
      </w:r>
    </w:p>
    <w:p w:rsidR="00C9630E" w:rsidRDefault="007873E0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комиссии:</w:t>
      </w:r>
      <w:r w:rsidR="00C46619" w:rsidRPr="00B61C11">
        <w:rPr>
          <w:rFonts w:ascii="Times New Roman" w:hAnsi="Times New Roman" w:cs="Times New Roman"/>
          <w:sz w:val="24"/>
          <w:szCs w:val="24"/>
        </w:rPr>
        <w:t xml:space="preserve"> </w:t>
      </w:r>
      <w:r w:rsidR="002C3BB0" w:rsidRPr="00B61C11">
        <w:rPr>
          <w:rFonts w:ascii="Times New Roman" w:hAnsi="Times New Roman" w:cs="Times New Roman"/>
          <w:sz w:val="24"/>
          <w:szCs w:val="24"/>
        </w:rPr>
        <w:t xml:space="preserve">В результате выездной проверки установлено, </w:t>
      </w:r>
      <w:r w:rsidR="009D09BF" w:rsidRPr="00B61C11">
        <w:rPr>
          <w:rFonts w:ascii="Times New Roman" w:hAnsi="Times New Roman" w:cs="Times New Roman"/>
          <w:sz w:val="24"/>
          <w:szCs w:val="24"/>
        </w:rPr>
        <w:t>что в 202</w:t>
      </w:r>
      <w:r w:rsidR="00625F5F" w:rsidRPr="00B61C11">
        <w:rPr>
          <w:rFonts w:ascii="Times New Roman" w:hAnsi="Times New Roman" w:cs="Times New Roman"/>
          <w:sz w:val="24"/>
          <w:szCs w:val="24"/>
        </w:rPr>
        <w:t>4</w:t>
      </w:r>
      <w:r w:rsidR="009D09BF" w:rsidRPr="00B61C11">
        <w:rPr>
          <w:rFonts w:ascii="Times New Roman" w:hAnsi="Times New Roman" w:cs="Times New Roman"/>
          <w:sz w:val="24"/>
          <w:szCs w:val="24"/>
        </w:rPr>
        <w:t>г.</w:t>
      </w:r>
      <w:r w:rsidR="009D09BF" w:rsidRPr="00D71707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proofErr w:type="gramStart"/>
      <w:r w:rsidR="009D09BF" w:rsidRPr="00D7170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D09BF" w:rsidRPr="00D71707">
        <w:rPr>
          <w:rFonts w:ascii="Times New Roman" w:hAnsi="Times New Roman" w:cs="Times New Roman"/>
          <w:sz w:val="24"/>
          <w:szCs w:val="24"/>
        </w:rPr>
        <w:t xml:space="preserve"> концессионного соглашения</w:t>
      </w:r>
      <w:r w:rsidR="00C9630E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9D09BF" w:rsidRPr="00517142" w:rsidRDefault="009D09BF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86">
        <w:rPr>
          <w:rFonts w:ascii="Times New Roman" w:hAnsi="Times New Roman" w:cs="Times New Roman"/>
          <w:sz w:val="24"/>
          <w:szCs w:val="24"/>
        </w:rPr>
        <w:t>Мероприятия, прописанные в концессионном соглашении</w:t>
      </w:r>
      <w:r w:rsidR="00B43B0F" w:rsidRPr="009E1386">
        <w:rPr>
          <w:rFonts w:ascii="Times New Roman" w:hAnsi="Times New Roman" w:cs="Times New Roman"/>
          <w:sz w:val="24"/>
          <w:szCs w:val="24"/>
        </w:rPr>
        <w:t>,</w:t>
      </w:r>
      <w:r w:rsidR="00D71707" w:rsidRPr="009E1386">
        <w:rPr>
          <w:rFonts w:ascii="Times New Roman" w:hAnsi="Times New Roman" w:cs="Times New Roman"/>
          <w:sz w:val="24"/>
          <w:szCs w:val="24"/>
        </w:rPr>
        <w:t xml:space="preserve"> согласно предоставленных ранее данных</w:t>
      </w:r>
      <w:r w:rsidRPr="009E1386">
        <w:rPr>
          <w:rFonts w:ascii="Times New Roman" w:hAnsi="Times New Roman" w:cs="Times New Roman"/>
          <w:sz w:val="24"/>
          <w:szCs w:val="24"/>
        </w:rPr>
        <w:t xml:space="preserve"> были выполнены на </w:t>
      </w:r>
      <w:r w:rsidR="009E1386" w:rsidRPr="009E1386">
        <w:rPr>
          <w:rFonts w:ascii="Times New Roman" w:hAnsi="Times New Roman" w:cs="Times New Roman"/>
          <w:sz w:val="24"/>
          <w:szCs w:val="24"/>
        </w:rPr>
        <w:t>7</w:t>
      </w:r>
      <w:r w:rsidRPr="009E1386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792"/>
        <w:gridCol w:w="3285"/>
        <w:gridCol w:w="1565"/>
        <w:gridCol w:w="10"/>
        <w:gridCol w:w="2193"/>
        <w:gridCol w:w="10"/>
        <w:gridCol w:w="1843"/>
        <w:gridCol w:w="10"/>
      </w:tblGrid>
      <w:tr w:rsidR="009D09BF" w:rsidRPr="009E1386" w:rsidTr="009D09BF"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5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Плановые (ориентировочные) затраты на реализацию мероприятий, тыс. руб. с учетом НДС</w:t>
            </w:r>
          </w:p>
        </w:tc>
        <w:tc>
          <w:tcPr>
            <w:tcW w:w="185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реализацию мероприятий, тыс. руб. с учетом НДС</w:t>
            </w:r>
          </w:p>
        </w:tc>
      </w:tr>
      <w:tr w:rsidR="009D09BF" w:rsidRPr="009E1386" w:rsidTr="009D09BF"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Оснастить теплообменное оборудование МКУ сетчатыми фильтрами</w:t>
            </w:r>
          </w:p>
        </w:tc>
        <w:tc>
          <w:tcPr>
            <w:tcW w:w="1575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3" w:type="dxa"/>
            <w:gridSpan w:val="2"/>
          </w:tcPr>
          <w:p w:rsidR="009D09BF" w:rsidRPr="009E1386" w:rsidRDefault="00625F5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72,549</w:t>
            </w:r>
          </w:p>
        </w:tc>
      </w:tr>
      <w:tr w:rsidR="009D09BF" w:rsidRPr="009E1386" w:rsidTr="009D09BF"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установки дозирования </w:t>
            </w:r>
            <w:proofErr w:type="spellStart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комплексоната</w:t>
            </w:r>
            <w:proofErr w:type="spellEnd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контура на МКУ</w:t>
            </w:r>
          </w:p>
        </w:tc>
        <w:tc>
          <w:tcPr>
            <w:tcW w:w="1575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3" w:type="dxa"/>
            <w:gridSpan w:val="2"/>
          </w:tcPr>
          <w:p w:rsidR="009D09BF" w:rsidRPr="009E1386" w:rsidRDefault="00625F5F" w:rsidP="00B9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61,579</w:t>
            </w:r>
          </w:p>
        </w:tc>
      </w:tr>
      <w:tr w:rsidR="009D09BF" w:rsidRPr="009E1386" w:rsidTr="009D09BF"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Установка модульного сооружения для размещения электро персонала</w:t>
            </w:r>
          </w:p>
        </w:tc>
        <w:tc>
          <w:tcPr>
            <w:tcW w:w="1575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53" w:type="dxa"/>
            <w:gridSpan w:val="2"/>
          </w:tcPr>
          <w:p w:rsidR="009D09BF" w:rsidRPr="009E1386" w:rsidRDefault="00625F5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9BF" w:rsidRPr="009E1386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установки </w:t>
            </w:r>
            <w:proofErr w:type="spellStart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безразборной</w:t>
            </w:r>
            <w:proofErr w:type="spellEnd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 очистки теплообменного оборудования на МКУ</w:t>
            </w:r>
          </w:p>
        </w:tc>
        <w:tc>
          <w:tcPr>
            <w:tcW w:w="156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3" w:type="dxa"/>
            <w:gridSpan w:val="2"/>
          </w:tcPr>
          <w:p w:rsidR="009D09BF" w:rsidRPr="009E1386" w:rsidRDefault="009E1386" w:rsidP="00B9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9D09BF" w:rsidRPr="009E1386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технологическую схему работы модульной котельной  установки </w:t>
            </w:r>
            <w:proofErr w:type="gramStart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бак-аккумулятора</w:t>
            </w:r>
            <w:proofErr w:type="gramEnd"/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, путем выполнения технологической обвязки с оборудованием котельной</w:t>
            </w:r>
          </w:p>
        </w:tc>
        <w:tc>
          <w:tcPr>
            <w:tcW w:w="156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 xml:space="preserve">п. 30 Концессионного соглашения, без указания стоимости мероприятия </w:t>
            </w:r>
          </w:p>
        </w:tc>
        <w:tc>
          <w:tcPr>
            <w:tcW w:w="185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F" w:rsidRPr="009E1386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Установка автомобильных весов на котельной МКУ</w:t>
            </w:r>
          </w:p>
        </w:tc>
        <w:tc>
          <w:tcPr>
            <w:tcW w:w="156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5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F" w:rsidRPr="00517142" w:rsidTr="009D09BF">
        <w:tc>
          <w:tcPr>
            <w:tcW w:w="792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9D09BF" w:rsidRPr="009E1386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b/>
                <w:sz w:val="24"/>
                <w:szCs w:val="24"/>
              </w:rPr>
              <w:t>5900</w:t>
            </w:r>
          </w:p>
        </w:tc>
        <w:tc>
          <w:tcPr>
            <w:tcW w:w="1853" w:type="dxa"/>
            <w:gridSpan w:val="2"/>
          </w:tcPr>
          <w:p w:rsidR="009D09BF" w:rsidRPr="00517142" w:rsidRDefault="009E1386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86">
              <w:rPr>
                <w:rFonts w:ascii="Times New Roman" w:hAnsi="Times New Roman" w:cs="Times New Roman"/>
                <w:b/>
                <w:sz w:val="24"/>
                <w:szCs w:val="24"/>
              </w:rPr>
              <w:t>632,13</w:t>
            </w:r>
          </w:p>
        </w:tc>
      </w:tr>
    </w:tbl>
    <w:p w:rsidR="00B92C29" w:rsidRPr="00366465" w:rsidRDefault="009E1386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27</w:t>
      </w:r>
      <w:r w:rsidR="00B92C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92C2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2C2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02-03/11816</w:t>
      </w:r>
      <w:r w:rsidR="00B92C29">
        <w:rPr>
          <w:rFonts w:ascii="Times New Roman" w:hAnsi="Times New Roman" w:cs="Times New Roman"/>
          <w:sz w:val="24"/>
          <w:szCs w:val="24"/>
        </w:rPr>
        <w:t xml:space="preserve"> была предоставлена информация с приложением подтверждающих документов о затратах на выполнение мероприятий за период 2017-202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2C29">
        <w:rPr>
          <w:rFonts w:ascii="Times New Roman" w:hAnsi="Times New Roman" w:cs="Times New Roman"/>
          <w:sz w:val="24"/>
          <w:szCs w:val="24"/>
        </w:rPr>
        <w:t>гг. Согласно актуализированной информации о</w:t>
      </w:r>
      <w:r w:rsidR="00B92C29" w:rsidRPr="00366465">
        <w:rPr>
          <w:rFonts w:ascii="Times New Roman" w:hAnsi="Times New Roman" w:cs="Times New Roman"/>
          <w:sz w:val="24"/>
          <w:szCs w:val="24"/>
        </w:rPr>
        <w:t xml:space="preserve">существлены инвестиции в размере </w:t>
      </w:r>
      <w:r>
        <w:rPr>
          <w:rFonts w:ascii="Times New Roman" w:hAnsi="Times New Roman" w:cs="Times New Roman"/>
          <w:b/>
          <w:sz w:val="24"/>
          <w:szCs w:val="24"/>
        </w:rPr>
        <w:t>632 130</w:t>
      </w:r>
      <w:r w:rsidR="00B92C29" w:rsidRPr="0036646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B92C29" w:rsidRPr="00366465">
        <w:rPr>
          <w:rFonts w:ascii="Times New Roman" w:hAnsi="Times New Roman" w:cs="Times New Roman"/>
          <w:sz w:val="24"/>
          <w:szCs w:val="24"/>
        </w:rPr>
        <w:t>.</w:t>
      </w:r>
    </w:p>
    <w:p w:rsidR="00442710" w:rsidRDefault="009D09BF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Согласно п. 20 концессионного соглашения объем инвестиций изменению не подлежит.</w:t>
      </w:r>
    </w:p>
    <w:p w:rsidR="00442710" w:rsidRPr="004A2DA8" w:rsidRDefault="00442710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4A2DA8">
        <w:rPr>
          <w:rFonts w:ascii="Times New Roman" w:hAnsi="Times New Roman" w:cs="Times New Roman"/>
          <w:b/>
          <w:sz w:val="24"/>
          <w:szCs w:val="24"/>
        </w:rPr>
        <w:t>КрасЭко</w:t>
      </w:r>
      <w:proofErr w:type="spellEnd"/>
      <w:r w:rsidRPr="004A2DA8">
        <w:rPr>
          <w:rFonts w:ascii="Times New Roman" w:hAnsi="Times New Roman" w:cs="Times New Roman"/>
          <w:b/>
          <w:sz w:val="24"/>
          <w:szCs w:val="24"/>
        </w:rPr>
        <w:t xml:space="preserve">» (письмо №008/7653/1 от 26.06.2023) предложено </w:t>
      </w:r>
      <w:r w:rsidR="004A2DA8" w:rsidRPr="004A2DA8">
        <w:rPr>
          <w:rFonts w:ascii="Times New Roman" w:hAnsi="Times New Roman" w:cs="Times New Roman"/>
          <w:b/>
          <w:sz w:val="24"/>
          <w:szCs w:val="24"/>
        </w:rPr>
        <w:t xml:space="preserve">осуществить замену мероприятий, указанных в концессионном соглашении, однако письмом от 03.05.2025 №02-03/2514  было сообщено, что вносить изменения не </w:t>
      </w:r>
      <w:r w:rsidR="004A2DA8">
        <w:rPr>
          <w:rFonts w:ascii="Times New Roman" w:hAnsi="Times New Roman" w:cs="Times New Roman"/>
          <w:b/>
          <w:sz w:val="24"/>
          <w:szCs w:val="24"/>
        </w:rPr>
        <w:t>планируется.</w:t>
      </w:r>
    </w:p>
    <w:p w:rsidR="004A2DA8" w:rsidRPr="004A2DA8" w:rsidRDefault="004A2DA8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A2DA8">
        <w:rPr>
          <w:rFonts w:ascii="Times New Roman" w:hAnsi="Times New Roman" w:cs="Times New Roman"/>
          <w:b/>
          <w:sz w:val="24"/>
          <w:szCs w:val="24"/>
        </w:rPr>
        <w:t xml:space="preserve"> целях исполнения условий концессионного соглашения необходимо осуществить мероприятия, предусмотренных подписанным концессионным соглашением №1 от 25.10.2016, а именно:</w:t>
      </w:r>
    </w:p>
    <w:p w:rsidR="004A2DA8" w:rsidRPr="004A2DA8" w:rsidRDefault="004A2DA8" w:rsidP="004A2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  <w:sz w:val="24"/>
          <w:szCs w:val="24"/>
        </w:rPr>
        <w:t>- Установка модульного сооружения для размещения электро персонала;</w:t>
      </w:r>
    </w:p>
    <w:p w:rsidR="004A2DA8" w:rsidRPr="004A2DA8" w:rsidRDefault="004A2DA8" w:rsidP="004A2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A8">
        <w:rPr>
          <w:rFonts w:ascii="Times New Roman" w:hAnsi="Times New Roman" w:cs="Times New Roman"/>
          <w:b/>
          <w:sz w:val="24"/>
          <w:szCs w:val="24"/>
        </w:rPr>
        <w:t>- Установка автомобильных весов на котельной МКУ.</w:t>
      </w:r>
    </w:p>
    <w:p w:rsidR="00B43B0F" w:rsidRPr="004C0B15" w:rsidRDefault="009A0E45" w:rsidP="00D71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3B0F" w:rsidRPr="00D71707" w:rsidRDefault="00B43B0F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90D" w:rsidRPr="00D71707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на </w:t>
      </w:r>
      <w:r w:rsidR="009A0E45">
        <w:rPr>
          <w:rFonts w:ascii="Times New Roman" w:hAnsi="Times New Roman" w:cs="Times New Roman"/>
          <w:sz w:val="24"/>
          <w:szCs w:val="24"/>
        </w:rPr>
        <w:t>1</w:t>
      </w:r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82FC4" w:rsidRPr="00D71707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Акт составлен в 2-х экземплярах: 1- Администрация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5D2449" w:rsidRPr="00D71707">
        <w:rPr>
          <w:rFonts w:ascii="Times New Roman" w:hAnsi="Times New Roman" w:cs="Times New Roman"/>
          <w:sz w:val="24"/>
          <w:szCs w:val="24"/>
        </w:rPr>
        <w:t>1</w:t>
      </w:r>
      <w:r w:rsidRPr="00D71707">
        <w:rPr>
          <w:rFonts w:ascii="Times New Roman" w:hAnsi="Times New Roman" w:cs="Times New Roman"/>
          <w:sz w:val="24"/>
          <w:szCs w:val="24"/>
        </w:rPr>
        <w:t xml:space="preserve"> –АО «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>».</w:t>
      </w:r>
    </w:p>
    <w:p w:rsidR="00982FC4" w:rsidRPr="00D71707" w:rsidRDefault="00982FC4" w:rsidP="00982F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982FC4" w:rsidRPr="00D71707" w:rsidTr="00442710">
        <w:tc>
          <w:tcPr>
            <w:tcW w:w="5070" w:type="dxa"/>
            <w:hideMark/>
          </w:tcPr>
          <w:p w:rsidR="00982FC4" w:rsidRPr="00D71707" w:rsidRDefault="00982FC4" w:rsidP="00B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</w:t>
            </w:r>
            <w:r w:rsidR="00B35276"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2A5065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982FC4" w:rsidRPr="00517142" w:rsidTr="00442710">
        <w:tc>
          <w:tcPr>
            <w:tcW w:w="5070" w:type="dxa"/>
            <w:hideMark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2FC4" w:rsidRPr="00D71707" w:rsidTr="00442710">
        <w:tc>
          <w:tcPr>
            <w:tcW w:w="5070" w:type="dxa"/>
            <w:hideMark/>
          </w:tcPr>
          <w:p w:rsidR="00982FC4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B43B0F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385EC1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71707"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982FC4" w:rsidRPr="00517142" w:rsidTr="00442710">
        <w:tc>
          <w:tcPr>
            <w:tcW w:w="5070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707" w:rsidRPr="00D71707" w:rsidTr="00442710">
        <w:tc>
          <w:tcPr>
            <w:tcW w:w="5070" w:type="dxa"/>
          </w:tcPr>
          <w:p w:rsidR="00D71707" w:rsidRPr="00D71707" w:rsidRDefault="00D71707" w:rsidP="00D7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имуществу и земельным отношениям 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D71707" w:rsidRPr="00517142" w:rsidTr="00442710">
        <w:tc>
          <w:tcPr>
            <w:tcW w:w="5070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C4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2DA8" w:rsidRDefault="004A2DA8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2DA8" w:rsidRPr="00517142" w:rsidRDefault="004A2DA8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DA8" w:rsidRDefault="004A2DA8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B61C11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11">
        <w:rPr>
          <w:rFonts w:ascii="Times New Roman" w:hAnsi="Times New Roman" w:cs="Times New Roman"/>
          <w:b/>
          <w:sz w:val="24"/>
          <w:szCs w:val="24"/>
        </w:rPr>
        <w:lastRenderedPageBreak/>
        <w:t>ФОТОТАБЛИЦА</w:t>
      </w:r>
    </w:p>
    <w:p w:rsidR="00982FC4" w:rsidRPr="004C0B15" w:rsidRDefault="009E1386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11">
        <w:rPr>
          <w:rFonts w:ascii="Times New Roman" w:hAnsi="Times New Roman" w:cs="Times New Roman"/>
          <w:b/>
          <w:sz w:val="24"/>
          <w:szCs w:val="24"/>
        </w:rPr>
        <w:t xml:space="preserve">Приложение к акту № 1 от </w:t>
      </w:r>
      <w:r w:rsidR="00B61C11" w:rsidRPr="00B61C11">
        <w:rPr>
          <w:rFonts w:ascii="Times New Roman" w:hAnsi="Times New Roman" w:cs="Times New Roman"/>
          <w:b/>
          <w:sz w:val="24"/>
          <w:szCs w:val="24"/>
        </w:rPr>
        <w:t>02</w:t>
      </w:r>
      <w:r w:rsidR="00982FC4" w:rsidRPr="00B61C11">
        <w:rPr>
          <w:rFonts w:ascii="Times New Roman" w:hAnsi="Times New Roman" w:cs="Times New Roman"/>
          <w:b/>
          <w:sz w:val="24"/>
          <w:szCs w:val="24"/>
        </w:rPr>
        <w:t>.</w:t>
      </w:r>
      <w:r w:rsidR="005D2449" w:rsidRPr="00B61C11">
        <w:rPr>
          <w:rFonts w:ascii="Times New Roman" w:hAnsi="Times New Roman" w:cs="Times New Roman"/>
          <w:b/>
          <w:sz w:val="24"/>
          <w:szCs w:val="24"/>
        </w:rPr>
        <w:t>0</w:t>
      </w:r>
      <w:r w:rsidR="00B61C11" w:rsidRPr="00B61C11">
        <w:rPr>
          <w:rFonts w:ascii="Times New Roman" w:hAnsi="Times New Roman" w:cs="Times New Roman"/>
          <w:b/>
          <w:sz w:val="24"/>
          <w:szCs w:val="24"/>
        </w:rPr>
        <w:t>6</w:t>
      </w:r>
      <w:r w:rsidR="00982FC4" w:rsidRPr="00B61C11">
        <w:rPr>
          <w:rFonts w:ascii="Times New Roman" w:hAnsi="Times New Roman" w:cs="Times New Roman"/>
          <w:b/>
          <w:sz w:val="24"/>
          <w:szCs w:val="24"/>
        </w:rPr>
        <w:t>.20</w:t>
      </w:r>
      <w:r w:rsidR="005D2449" w:rsidRPr="00B61C11">
        <w:rPr>
          <w:rFonts w:ascii="Times New Roman" w:hAnsi="Times New Roman" w:cs="Times New Roman"/>
          <w:b/>
          <w:sz w:val="24"/>
          <w:szCs w:val="24"/>
        </w:rPr>
        <w:t>2</w:t>
      </w:r>
      <w:r w:rsidRPr="00B61C11">
        <w:rPr>
          <w:rFonts w:ascii="Times New Roman" w:hAnsi="Times New Roman" w:cs="Times New Roman"/>
          <w:b/>
          <w:sz w:val="24"/>
          <w:szCs w:val="24"/>
        </w:rPr>
        <w:t>5</w:t>
      </w:r>
      <w:r w:rsidR="00982FC4" w:rsidRPr="00B61C11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4C0B1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 xml:space="preserve">Адрес объекта: Красноярский край,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Pr="004C0B15" w:rsidRDefault="00982FC4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ул. Восточная 21Б</w:t>
      </w:r>
    </w:p>
    <w:p w:rsidR="004932E8" w:rsidRPr="004C0B15" w:rsidRDefault="004932E8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831"/>
      </w:tblGrid>
      <w:tr w:rsidR="004C0B15" w:rsidRPr="00517142" w:rsidTr="009A0E45">
        <w:trPr>
          <w:trHeight w:val="2720"/>
        </w:trPr>
        <w:tc>
          <w:tcPr>
            <w:tcW w:w="4743" w:type="dxa"/>
          </w:tcPr>
          <w:p w:rsidR="0021390D" w:rsidRPr="00517142" w:rsidRDefault="009E1386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8D20CD" wp14:editId="04301AF0">
                  <wp:extent cx="2867025" cy="2150269"/>
                  <wp:effectExtent l="0" t="0" r="0" b="0"/>
                  <wp:docPr id="2" name="Рисунок 2" descr="C:\Users\Шарманова\Desktop\Шарманова октябрь 2018\концессия\2025 контроль за 2024\восточная\20250516_09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рманова\Desktop\Шарманова октябрь 2018\концессия\2025 контроль за 2024\восточная\20250516_09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00" cy="2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90D" w:rsidRPr="00517142" w:rsidRDefault="0021390D" w:rsidP="004932E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B15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котельная </w:t>
            </w:r>
          </w:p>
        </w:tc>
        <w:tc>
          <w:tcPr>
            <w:tcW w:w="4829" w:type="dxa"/>
          </w:tcPr>
          <w:p w:rsidR="0021390D" w:rsidRPr="00517142" w:rsidRDefault="009E1386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153169" wp14:editId="1D1563BC">
                  <wp:extent cx="2908300" cy="2181225"/>
                  <wp:effectExtent l="0" t="0" r="0" b="0"/>
                  <wp:docPr id="3" name="Рисунок 3" descr="C:\Users\Шарманова\Desktop\Шарманова октябрь 2018\концессия\2025 контроль за 2024\восточная\20250516_09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рманова\Desktop\Шарманова октябрь 2018\концессия\2025 контроль за 2024\восточная\20250516_09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57" cy="21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42" w:rsidRPr="00517142" w:rsidTr="009A0E45">
        <w:trPr>
          <w:trHeight w:val="2720"/>
        </w:trPr>
        <w:tc>
          <w:tcPr>
            <w:tcW w:w="4743" w:type="dxa"/>
          </w:tcPr>
          <w:p w:rsidR="004C0B15" w:rsidRPr="004C0B15" w:rsidRDefault="009E1386" w:rsidP="004C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7B7093" wp14:editId="4F9A919E">
                  <wp:extent cx="2819400" cy="2114550"/>
                  <wp:effectExtent l="0" t="0" r="0" b="0"/>
                  <wp:docPr id="5" name="Рисунок 5" descr="C:\Users\Шарманова\Desktop\Шарманова октябрь 2018\концессия\2025 контроль за 2024\восточная\20250516_09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рманова\Desktop\Шарманова октябрь 2018\концессия\2025 контроль за 2024\восточная\20250516_09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95" cy="211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517142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90E55" wp14:editId="0DB7744D">
                  <wp:extent cx="2933700" cy="2200275"/>
                  <wp:effectExtent l="0" t="0" r="0" b="0"/>
                  <wp:docPr id="6" name="Рисунок 6" descr="C:\Users\Шарманова\Desktop\Шарманова октябрь 2018\концессия\2025 контроль за 2024\восточная\20250516_09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рманова\Desktop\Шарманова октябрь 2018\концессия\2025 контроль за 2024\восточная\20250516_09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15" w:rsidRPr="00517142" w:rsidTr="009A0E45">
        <w:trPr>
          <w:trHeight w:val="2720"/>
        </w:trPr>
        <w:tc>
          <w:tcPr>
            <w:tcW w:w="4743" w:type="dxa"/>
          </w:tcPr>
          <w:p w:rsidR="004C0B15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816EA7" wp14:editId="0F7EE785">
                  <wp:extent cx="2876550" cy="2157413"/>
                  <wp:effectExtent l="0" t="0" r="0" b="0"/>
                  <wp:docPr id="7" name="Рисунок 7" descr="C:\Users\Шарманова\Desktop\Шарманова октябрь 2018\концессия\2025 контроль за 2024\восточная\20250516_09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арманова\Desktop\Шарманова октябрь 2018\концессия\2025 контроль за 2024\восточная\20250516_09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21" cy="21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4C0B15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381F5C" wp14:editId="3217BBB4">
                  <wp:extent cx="2755900" cy="2066925"/>
                  <wp:effectExtent l="0" t="342900" r="0" b="333375"/>
                  <wp:docPr id="9" name="Рисунок 9" descr="C:\Users\Шарманова\Desktop\Шарманова октябрь 2018\концессия\2025 контроль за 2024\восточная\20250516_090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арманова\Desktop\Шарманова октябрь 2018\концессия\2025 контроль за 2024\восточная\20250516_090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54722" cy="206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07C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Pr="00517142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1F35" w:rsidRPr="00517142" w:rsidRDefault="00B61F3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B61F35" w:rsidRPr="00517142" w:rsidSect="00366465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4353E"/>
    <w:rsid w:val="00045C93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3E3ACA"/>
    <w:rsid w:val="00442710"/>
    <w:rsid w:val="004932E8"/>
    <w:rsid w:val="004A2DA8"/>
    <w:rsid w:val="004B6792"/>
    <w:rsid w:val="004C0B15"/>
    <w:rsid w:val="00517142"/>
    <w:rsid w:val="005920A1"/>
    <w:rsid w:val="00594C91"/>
    <w:rsid w:val="005D2449"/>
    <w:rsid w:val="005D34FB"/>
    <w:rsid w:val="005D66BA"/>
    <w:rsid w:val="005E7C35"/>
    <w:rsid w:val="00625F5F"/>
    <w:rsid w:val="006371AE"/>
    <w:rsid w:val="00664464"/>
    <w:rsid w:val="0067457F"/>
    <w:rsid w:val="00682EE5"/>
    <w:rsid w:val="006A75DC"/>
    <w:rsid w:val="006C6EFD"/>
    <w:rsid w:val="00705037"/>
    <w:rsid w:val="00733468"/>
    <w:rsid w:val="007563E7"/>
    <w:rsid w:val="007873E0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9E1386"/>
    <w:rsid w:val="00AA7919"/>
    <w:rsid w:val="00B053B9"/>
    <w:rsid w:val="00B05459"/>
    <w:rsid w:val="00B35276"/>
    <w:rsid w:val="00B376E7"/>
    <w:rsid w:val="00B43392"/>
    <w:rsid w:val="00B43B0F"/>
    <w:rsid w:val="00B61C11"/>
    <w:rsid w:val="00B61F35"/>
    <w:rsid w:val="00B64C09"/>
    <w:rsid w:val="00B660E3"/>
    <w:rsid w:val="00B7029B"/>
    <w:rsid w:val="00B735FE"/>
    <w:rsid w:val="00B766D3"/>
    <w:rsid w:val="00B92C29"/>
    <w:rsid w:val="00BA22BB"/>
    <w:rsid w:val="00BE68E4"/>
    <w:rsid w:val="00C24FC9"/>
    <w:rsid w:val="00C46619"/>
    <w:rsid w:val="00C7367B"/>
    <w:rsid w:val="00C9630E"/>
    <w:rsid w:val="00C97A0A"/>
    <w:rsid w:val="00CC20E9"/>
    <w:rsid w:val="00CE2318"/>
    <w:rsid w:val="00CE4515"/>
    <w:rsid w:val="00D322C2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7F4D-2EA0-4C3D-9A77-D5A733A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43</cp:revision>
  <cp:lastPrinted>2025-06-02T03:48:00Z</cp:lastPrinted>
  <dcterms:created xsi:type="dcterms:W3CDTF">2019-08-02T01:09:00Z</dcterms:created>
  <dcterms:modified xsi:type="dcterms:W3CDTF">2025-06-02T09:42:00Z</dcterms:modified>
</cp:coreProperties>
</file>